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DD1C" w14:textId="77777777" w:rsidR="007D3D0C" w:rsidRPr="00A3576F" w:rsidRDefault="007D3D0C" w:rsidP="007D3D0C">
      <w:pPr>
        <w:rPr>
          <w:b/>
          <w:bCs/>
          <w:sz w:val="28"/>
          <w:szCs w:val="28"/>
        </w:rPr>
      </w:pPr>
      <w:r w:rsidRPr="00A3576F">
        <w:rPr>
          <w:b/>
          <w:bCs/>
          <w:sz w:val="28"/>
          <w:szCs w:val="28"/>
        </w:rPr>
        <w:t>Uitleg procedure (wijziging) Omgevingsplan</w:t>
      </w:r>
    </w:p>
    <w:p w14:paraId="238047C0" w14:textId="77777777" w:rsidR="007D3D0C" w:rsidRPr="007D3D0C" w:rsidRDefault="007D3D0C" w:rsidP="007D3D0C">
      <w:r w:rsidRPr="007D3D0C">
        <w:t xml:space="preserve">Als de Omgevingswet per 1 juli 2021 in werking is getreden, dan hebben gemeente een zogenoemd ‘omgevingsplan van rechtswege’. Dit ‘omgevingsplan van rechtswege’ zal bestaan uit: </w:t>
      </w:r>
    </w:p>
    <w:p w14:paraId="0B4D5CA8" w14:textId="77777777" w:rsidR="007D3D0C" w:rsidRPr="007D3D0C" w:rsidRDefault="007D3D0C" w:rsidP="007D3D0C">
      <w:pPr>
        <w:pStyle w:val="Lijstalinea"/>
        <w:numPr>
          <w:ilvl w:val="0"/>
          <w:numId w:val="2"/>
        </w:numPr>
      </w:pPr>
      <w:r w:rsidRPr="007D3D0C">
        <w:t xml:space="preserve">alle ‘oude’ geldende ruimtelijke regels, zoals bestemmingplannen en beheersverordeningen, </w:t>
      </w:r>
    </w:p>
    <w:p w14:paraId="31E84C95" w14:textId="77777777" w:rsidR="007D3D0C" w:rsidRPr="007D3D0C" w:rsidRDefault="007D3D0C" w:rsidP="007D3D0C">
      <w:pPr>
        <w:pStyle w:val="Lijstalinea"/>
        <w:numPr>
          <w:ilvl w:val="0"/>
          <w:numId w:val="2"/>
        </w:numPr>
      </w:pPr>
      <w:r w:rsidRPr="007D3D0C">
        <w:t xml:space="preserve">de gemeentelijke geur-, erfgoedverordening en de verordening afvoer regen- en grondwater,  </w:t>
      </w:r>
    </w:p>
    <w:p w14:paraId="37CEC8C5" w14:textId="77777777" w:rsidR="007D3D0C" w:rsidRPr="007D3D0C" w:rsidRDefault="007D3D0C" w:rsidP="007D3D0C">
      <w:pPr>
        <w:pStyle w:val="Lijstalinea"/>
        <w:numPr>
          <w:ilvl w:val="0"/>
          <w:numId w:val="2"/>
        </w:numPr>
      </w:pPr>
      <w:r w:rsidRPr="007D3D0C">
        <w:t>een set Rijksregels (de ‘bruidsschat’ genaamd).</w:t>
      </w:r>
    </w:p>
    <w:p w14:paraId="12F902D6" w14:textId="77777777" w:rsidR="007D3D0C" w:rsidRPr="007D3D0C" w:rsidRDefault="007D3D0C" w:rsidP="007D3D0C">
      <w:r w:rsidRPr="007D3D0C">
        <w:t>Gemeenten zullen de ‘oude’ regels per gebied of per thema moeten aanpassen aan de (nieuwe) eisen van de Omgevingswet. Daar hebben ze tot 2030 de tijd voor. Dit betekent dat er naar verwachting veel wijzigingen van het Omgevingsplan zullen plaatsvinden. Voor het wijzigen van het omgevingsplan geldt de volgende procedure:</w:t>
      </w:r>
    </w:p>
    <w:p w14:paraId="75EE9A57" w14:textId="74AE741C" w:rsidR="007D3D0C" w:rsidRPr="007D3D0C" w:rsidRDefault="007D3D0C" w:rsidP="007D3D0C">
      <w:pPr>
        <w:pStyle w:val="Lijstalinea"/>
        <w:numPr>
          <w:ilvl w:val="0"/>
          <w:numId w:val="3"/>
        </w:numPr>
      </w:pPr>
      <w:r w:rsidRPr="007D3D0C">
        <w:t>De gemeente doet een kennisgeving in het (digitale) gemeenteblad dat het van plan is om het omgevingsplan te wijzigen</w:t>
      </w:r>
      <w:r w:rsidR="00AE3863">
        <w:t xml:space="preserve"> (voorbereidingsprocedure)</w:t>
      </w:r>
      <w:r w:rsidRPr="007D3D0C">
        <w:t xml:space="preserve">. In deze kennisgeving staat ook hoe de gemeenteraad burgers, bedrijven, maatschappelijke organisaties en bestuursorganen bij de voorbereiding gaat betrekken. Je vindt hier dus ook welke mogelijkheden je hebt om invloed uit te oefenen (te </w:t>
      </w:r>
      <w:hyperlink r:id="rId5" w:history="1">
        <w:r w:rsidRPr="007D3D0C">
          <w:rPr>
            <w:rStyle w:val="Hyperlink"/>
          </w:rPr>
          <w:t>participeren</w:t>
        </w:r>
      </w:hyperlink>
      <w:r w:rsidRPr="007D3D0C">
        <w:t>).</w:t>
      </w:r>
    </w:p>
    <w:p w14:paraId="5DA3EA33" w14:textId="77777777" w:rsidR="007D3D0C" w:rsidRPr="007D3D0C" w:rsidRDefault="007D3D0C" w:rsidP="007D3D0C">
      <w:pPr>
        <w:pStyle w:val="Lijstalinea"/>
        <w:numPr>
          <w:ilvl w:val="0"/>
          <w:numId w:val="3"/>
        </w:numPr>
      </w:pPr>
      <w:r w:rsidRPr="007D3D0C">
        <w:t xml:space="preserve">Ook plaatst de gemeente voor de terinzagelegging een kennisgeving in het (digitale) gemeenteblad, waarin staat ook op welke manier </w:t>
      </w:r>
      <w:hyperlink r:id="rId6" w:history="1">
        <w:r w:rsidRPr="007D3D0C">
          <w:rPr>
            <w:rStyle w:val="Hyperlink"/>
          </w:rPr>
          <w:t>zienswijzen</w:t>
        </w:r>
      </w:hyperlink>
      <w:r w:rsidRPr="007D3D0C">
        <w:t xml:space="preserve"> ingediend kunnen worden. </w:t>
      </w:r>
    </w:p>
    <w:p w14:paraId="745C8443" w14:textId="77777777" w:rsidR="007D3D0C" w:rsidRPr="007D3D0C" w:rsidRDefault="007D3D0C" w:rsidP="007D3D0C">
      <w:pPr>
        <w:pStyle w:val="Lijstalinea"/>
        <w:numPr>
          <w:ilvl w:val="0"/>
          <w:numId w:val="3"/>
        </w:numPr>
      </w:pPr>
      <w:r w:rsidRPr="007D3D0C">
        <w:t>Vervolgens wordt het ontwerp(wijziging)-omgevingsplan en de bijbehorende stukken 6 weken ter inzage gelegd. Als er een milieueffectrapportage is opgesteld dan wordt deze ook (apart of als onderdeel van het omgevingsplan) ter inzage gelegd.</w:t>
      </w:r>
    </w:p>
    <w:p w14:paraId="1C4AE119" w14:textId="738BD1A2" w:rsidR="007D3D0C" w:rsidRPr="007D3D0C" w:rsidRDefault="007D3D0C" w:rsidP="007D3D0C">
      <w:pPr>
        <w:pStyle w:val="Lijstalinea"/>
        <w:numPr>
          <w:ilvl w:val="0"/>
          <w:numId w:val="3"/>
        </w:numPr>
      </w:pPr>
      <w:r w:rsidRPr="007D3D0C">
        <w:t xml:space="preserve">Binnen de zes weken kan iedereen een zienswijze indienen over het ontwerp-omgevingsplan en de milieueffectrapportage. Dit mag schriftelijk </w:t>
      </w:r>
      <w:r w:rsidR="00A04FC1">
        <w:t xml:space="preserve">(brief) </w:t>
      </w:r>
      <w:r w:rsidRPr="007D3D0C">
        <w:t xml:space="preserve">of mondeling. </w:t>
      </w:r>
    </w:p>
    <w:p w14:paraId="7FAA3F24" w14:textId="77777777" w:rsidR="007D3D0C" w:rsidRPr="007D3D0C" w:rsidRDefault="007D3D0C" w:rsidP="007D3D0C">
      <w:pPr>
        <w:pStyle w:val="Lijstalinea"/>
        <w:numPr>
          <w:ilvl w:val="0"/>
          <w:numId w:val="3"/>
        </w:numPr>
      </w:pPr>
      <w:r w:rsidRPr="007D3D0C">
        <w:t>Hierna wordt het omgevingsplan vastgesteld. Hierin moet de gemeente ook aangeven:</w:t>
      </w:r>
    </w:p>
    <w:p w14:paraId="414537B9" w14:textId="77777777" w:rsidR="007D3D0C" w:rsidRPr="007D3D0C" w:rsidRDefault="007D3D0C" w:rsidP="007D3D0C">
      <w:pPr>
        <w:pStyle w:val="Lijstalinea"/>
        <w:numPr>
          <w:ilvl w:val="1"/>
          <w:numId w:val="3"/>
        </w:numPr>
      </w:pPr>
      <w:r w:rsidRPr="007D3D0C">
        <w:t xml:space="preserve">hoe ze aan publieksparticipatie heeft gedaan, </w:t>
      </w:r>
    </w:p>
    <w:p w14:paraId="17778090" w14:textId="77777777" w:rsidR="007D3D0C" w:rsidRPr="007D3D0C" w:rsidRDefault="007D3D0C" w:rsidP="007D3D0C">
      <w:pPr>
        <w:pStyle w:val="Lijstalinea"/>
        <w:numPr>
          <w:ilvl w:val="1"/>
          <w:numId w:val="3"/>
        </w:numPr>
      </w:pPr>
      <w:r w:rsidRPr="007D3D0C">
        <w:t>wat de resultaten daarvan zijn,</w:t>
      </w:r>
    </w:p>
    <w:p w14:paraId="5E8BCB4F" w14:textId="77777777" w:rsidR="007D3D0C" w:rsidRPr="007D3D0C" w:rsidRDefault="007D3D0C" w:rsidP="007D3D0C">
      <w:pPr>
        <w:pStyle w:val="Lijstalinea"/>
        <w:numPr>
          <w:ilvl w:val="1"/>
          <w:numId w:val="3"/>
        </w:numPr>
      </w:pPr>
      <w:r w:rsidRPr="007D3D0C">
        <w:t xml:space="preserve">hoe ze invulling heeft gegeven aan haar participatiebeleid. </w:t>
      </w:r>
    </w:p>
    <w:p w14:paraId="34037BFA" w14:textId="77777777" w:rsidR="007D3D0C" w:rsidRPr="007D3D0C" w:rsidRDefault="007D3D0C" w:rsidP="007D3D0C">
      <w:pPr>
        <w:pStyle w:val="Lijstalinea"/>
        <w:numPr>
          <w:ilvl w:val="0"/>
          <w:numId w:val="3"/>
        </w:numPr>
      </w:pPr>
      <w:r w:rsidRPr="007D3D0C">
        <w:t>Tenslotte maakt de gemeente het besluit bekend door het te publiceren in het (digitale) gemeenteblad. Vier weken na bekendmaking treedt het besluit in werking.</w:t>
      </w:r>
    </w:p>
    <w:p w14:paraId="3DB090BC" w14:textId="77777777" w:rsidR="00C0106A" w:rsidRDefault="007D3D0C" w:rsidP="007D3D0C">
      <w:pPr>
        <w:pStyle w:val="Lijstalinea"/>
        <w:numPr>
          <w:ilvl w:val="0"/>
          <w:numId w:val="3"/>
        </w:numPr>
      </w:pPr>
      <w:r w:rsidRPr="007D3D0C">
        <w:t>Na vaststelling begint ook de beroepstermijn van zes weken te lopen. Beroep kan in eerste en enige instantie worden ingesteld bij de Afdeling bestuursrechtspraak van de Raad van State.</w:t>
      </w:r>
      <w:r w:rsidR="00C0106A">
        <w:t xml:space="preserve"> </w:t>
      </w:r>
    </w:p>
    <w:p w14:paraId="04B7FD57" w14:textId="6B60EB40" w:rsidR="007D3D0C" w:rsidRPr="007D3D0C" w:rsidRDefault="00C0106A" w:rsidP="00C0106A">
      <w:pPr>
        <w:pStyle w:val="Lijstalinea"/>
        <w:ind w:left="360"/>
      </w:pPr>
      <w:r>
        <w:t>Voorwaarde is dat je direct belang hebt bij het besluit.</w:t>
      </w:r>
      <w:r w:rsidR="007D3D0C" w:rsidRPr="007D3D0C">
        <w:t xml:space="preserve"> Beroep kan alleen aangetekend worden tegen de regels die met het voorliggende besluit wijzigen en dus niet tegen regels die al eerder zijn vastgesteld.  </w:t>
      </w:r>
    </w:p>
    <w:p w14:paraId="4027BF75" w14:textId="7626D0A2" w:rsidR="007D3D0C" w:rsidRDefault="00AE3863" w:rsidP="007D3D0C">
      <w:pPr>
        <w:rPr>
          <w:b/>
          <w:bCs/>
          <w:sz w:val="28"/>
          <w:szCs w:val="28"/>
        </w:rPr>
      </w:pPr>
      <w:r>
        <w:rPr>
          <w:b/>
          <w:bCs/>
          <w:sz w:val="28"/>
          <w:szCs w:val="28"/>
        </w:rPr>
        <w:t>Toelichting</w:t>
      </w:r>
    </w:p>
    <w:p w14:paraId="3DA1400E" w14:textId="77777777" w:rsidR="00AE3863" w:rsidRDefault="00AE3863" w:rsidP="007D3D0C">
      <w:r>
        <w:t xml:space="preserve">Na het nodige vooronderzoek en vooroverleg met andere organisaties en wettelijke adviseurs stelt de gemeente een ontwerpbesluit van het omgevingsplan op. Dat maakt zij bekend in de plaatselijke media. Het ontwerpplan ligt dan zes weken ter inzage voor iedereen, en iedereen kan erop reageren in de vorm van schriftelijke of mondelinge zienswijzen. De gemeente moet bij vaststelling van het omgevingsplan reageren op de ingediende zienswijzen. En als ze ze wil afwijzen motiveren waarom ze het er niet mee eens is. </w:t>
      </w:r>
    </w:p>
    <w:p w14:paraId="673D0609" w14:textId="002DF123" w:rsidR="000F4B2D" w:rsidRPr="000F4B2D" w:rsidRDefault="00AE3863" w:rsidP="007D3D0C">
      <w:r>
        <w:t>Op zijn vroegst twaalf weken na de eerste dag van ter inzagelegging besluit de gemeente om het plan vast te stellen, al dan niet gewijzigd</w:t>
      </w:r>
      <w:r w:rsidR="000F4B2D">
        <w:t xml:space="preserve">. </w:t>
      </w:r>
    </w:p>
    <w:sectPr w:rsidR="000F4B2D" w:rsidRPr="000F4B2D" w:rsidSect="000F4B2D">
      <w:pgSz w:w="11906" w:h="16838"/>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2506"/>
    <w:multiLevelType w:val="hybridMultilevel"/>
    <w:tmpl w:val="0D98E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210F5E"/>
    <w:multiLevelType w:val="hybridMultilevel"/>
    <w:tmpl w:val="9B28D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D174D2"/>
    <w:multiLevelType w:val="hybridMultilevel"/>
    <w:tmpl w:val="CD2491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0C"/>
    <w:rsid w:val="000F4B2D"/>
    <w:rsid w:val="007D3D0C"/>
    <w:rsid w:val="00A04FC1"/>
    <w:rsid w:val="00AE3863"/>
    <w:rsid w:val="00C0106A"/>
    <w:rsid w:val="00D85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2BE7"/>
  <w15:chartTrackingRefBased/>
  <w15:docId w15:val="{4A1692AE-A8CB-45D1-B1F4-F5DB218A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3D0C"/>
    <w:pPr>
      <w:spacing w:after="0" w:line="240" w:lineRule="auto"/>
    </w:pPr>
  </w:style>
  <w:style w:type="paragraph" w:styleId="Lijstalinea">
    <w:name w:val="List Paragraph"/>
    <w:basedOn w:val="Standaard"/>
    <w:uiPriority w:val="34"/>
    <w:qFormat/>
    <w:rsid w:val="007D3D0C"/>
    <w:pPr>
      <w:ind w:left="720"/>
      <w:contextualSpacing/>
    </w:pPr>
  </w:style>
  <w:style w:type="character" w:styleId="Hyperlink">
    <w:name w:val="Hyperlink"/>
    <w:basedOn w:val="Standaardalinea-lettertype"/>
    <w:uiPriority w:val="99"/>
    <w:unhideWhenUsed/>
    <w:rsid w:val="007D3D0C"/>
    <w:rPr>
      <w:color w:val="0563C1" w:themeColor="hyperlink"/>
      <w:u w:val="single"/>
    </w:rPr>
  </w:style>
  <w:style w:type="character" w:styleId="Onopgelostemelding">
    <w:name w:val="Unresolved Mention"/>
    <w:basedOn w:val="Standaardalinea-lettertype"/>
    <w:uiPriority w:val="99"/>
    <w:semiHidden/>
    <w:unhideWhenUsed/>
    <w:rsid w:val="00C0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envooronzeleefomgeving.nl/9400/zienswijze-versus-participatie" TargetMode="External"/><Relationship Id="rId5" Type="http://schemas.openxmlformats.org/officeDocument/2006/relationships/hyperlink" Target="https://www.samenvooronzeleefomgeving.nl/9400/zienswijze-versus-particip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Leij</dc:creator>
  <cp:keywords/>
  <dc:description/>
  <cp:lastModifiedBy>Mariska van der Leij</cp:lastModifiedBy>
  <cp:revision>4</cp:revision>
  <dcterms:created xsi:type="dcterms:W3CDTF">2021-11-25T13:35:00Z</dcterms:created>
  <dcterms:modified xsi:type="dcterms:W3CDTF">2021-11-25T14:26:00Z</dcterms:modified>
</cp:coreProperties>
</file>